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5D" w:rsidRDefault="008C345D" w:rsidP="00A7671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76711" w:rsidRPr="00A76711" w:rsidRDefault="00A76711" w:rsidP="00A76711">
      <w:pPr>
        <w:rPr>
          <w:rFonts w:ascii="Arial" w:hAnsi="Arial" w:cs="Arial"/>
          <w:b/>
          <w:sz w:val="28"/>
          <w:szCs w:val="28"/>
        </w:rPr>
      </w:pPr>
      <w:r w:rsidRPr="00A76711">
        <w:rPr>
          <w:rFonts w:ascii="Arial" w:hAnsi="Arial" w:cs="Arial"/>
          <w:b/>
          <w:sz w:val="28"/>
          <w:szCs w:val="28"/>
        </w:rPr>
        <w:t>ATA REFERENTE AO JULGAMENTO DA DOCUMENTAÇÃO E DOS PROJETOS DE VENDA PARA AQUISIÇÃO DE GÊNEROS ALIMENTÍC</w:t>
      </w:r>
      <w:r>
        <w:rPr>
          <w:rFonts w:ascii="Arial" w:hAnsi="Arial" w:cs="Arial"/>
          <w:b/>
          <w:sz w:val="28"/>
          <w:szCs w:val="28"/>
        </w:rPr>
        <w:t xml:space="preserve">IOS (HORTIFRUTI) DIRETAMENTE DA </w:t>
      </w:r>
      <w:r w:rsidRPr="00A76711">
        <w:rPr>
          <w:rFonts w:ascii="Arial" w:hAnsi="Arial" w:cs="Arial"/>
          <w:b/>
          <w:sz w:val="28"/>
          <w:szCs w:val="28"/>
        </w:rPr>
        <w:t>AGRICULTURA FAMILIAR – PNAE</w:t>
      </w:r>
    </w:p>
    <w:p w:rsidR="00A76711" w:rsidRDefault="00A76711" w:rsidP="00A76711"/>
    <w:p w:rsidR="00A76711" w:rsidRPr="00A76711" w:rsidRDefault="00A76711" w:rsidP="00A76711">
      <w:pPr>
        <w:spacing w:after="20"/>
        <w:rPr>
          <w:rFonts w:ascii="Arial" w:hAnsi="Arial" w:cs="Arial"/>
          <w:b/>
          <w:sz w:val="24"/>
          <w:szCs w:val="24"/>
        </w:rPr>
      </w:pPr>
      <w:r w:rsidRPr="00A76711">
        <w:rPr>
          <w:rFonts w:ascii="Arial" w:hAnsi="Arial" w:cs="Arial"/>
          <w:b/>
          <w:sz w:val="24"/>
          <w:szCs w:val="24"/>
        </w:rPr>
        <w:t>PROCESSO ADMINISTRATIVO N.º 042/2025</w:t>
      </w:r>
    </w:p>
    <w:p w:rsidR="00A76711" w:rsidRPr="00A76711" w:rsidRDefault="00A76711" w:rsidP="00A76711">
      <w:pPr>
        <w:spacing w:after="20"/>
        <w:rPr>
          <w:rFonts w:ascii="Arial" w:hAnsi="Arial" w:cs="Arial"/>
          <w:b/>
          <w:sz w:val="24"/>
          <w:szCs w:val="24"/>
        </w:rPr>
      </w:pPr>
      <w:r w:rsidRPr="00A76711">
        <w:rPr>
          <w:rFonts w:ascii="Arial" w:hAnsi="Arial" w:cs="Arial"/>
          <w:b/>
          <w:sz w:val="24"/>
          <w:szCs w:val="24"/>
        </w:rPr>
        <w:t>INEXIGIBILIDADE N.º 008/2025</w:t>
      </w:r>
    </w:p>
    <w:p w:rsidR="00A76711" w:rsidRPr="00A76711" w:rsidRDefault="00A76711" w:rsidP="00A76711">
      <w:pPr>
        <w:spacing w:after="20"/>
        <w:rPr>
          <w:rFonts w:ascii="Arial" w:hAnsi="Arial" w:cs="Arial"/>
          <w:b/>
          <w:sz w:val="24"/>
          <w:szCs w:val="24"/>
        </w:rPr>
      </w:pPr>
      <w:r w:rsidRPr="00A76711">
        <w:rPr>
          <w:rFonts w:ascii="Arial" w:hAnsi="Arial" w:cs="Arial"/>
          <w:b/>
          <w:sz w:val="24"/>
          <w:szCs w:val="24"/>
        </w:rPr>
        <w:t>CREDENCIAMENTO N.º 001/2025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b/>
          <w:sz w:val="24"/>
          <w:szCs w:val="24"/>
        </w:rPr>
        <w:t>OBJETO</w:t>
      </w:r>
      <w:r w:rsidRPr="00A76711">
        <w:rPr>
          <w:rFonts w:ascii="Arial" w:hAnsi="Arial" w:cs="Arial"/>
          <w:sz w:val="24"/>
          <w:szCs w:val="24"/>
        </w:rPr>
        <w:t>: Aquisição de gêneros alimentícios (hortifrúti) diretamente da agricultura familiar e do empreendedor familiar rural, no âmbito do Programa Nacional de Alimentação Escolar – PNAE, em conformidade com o art. 14 da Lei n.º 11.947/2009 e com a Resolução FNDE/CD n.º 06, de 08 de maio de 2020.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Aos</w:t>
      </w:r>
      <w:r>
        <w:rPr>
          <w:rFonts w:ascii="Arial" w:hAnsi="Arial" w:cs="Arial"/>
          <w:sz w:val="24"/>
          <w:szCs w:val="24"/>
        </w:rPr>
        <w:t>14</w:t>
      </w:r>
      <w:r w:rsidRPr="00A76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A76711">
        <w:rPr>
          <w:rFonts w:ascii="Arial" w:hAnsi="Arial" w:cs="Arial"/>
          <w:sz w:val="24"/>
          <w:szCs w:val="24"/>
        </w:rPr>
        <w:t>quatorze</w:t>
      </w:r>
      <w:r>
        <w:rPr>
          <w:rFonts w:ascii="Arial" w:hAnsi="Arial" w:cs="Arial"/>
          <w:sz w:val="24"/>
          <w:szCs w:val="24"/>
        </w:rPr>
        <w:t>)</w:t>
      </w:r>
      <w:r w:rsidRPr="00A76711">
        <w:rPr>
          <w:rFonts w:ascii="Arial" w:hAnsi="Arial" w:cs="Arial"/>
          <w:sz w:val="24"/>
          <w:szCs w:val="24"/>
        </w:rPr>
        <w:t xml:space="preserve"> dias do mês de julho do ano de dois mil e vinte e cinco, no Setor de Licitações da Prefeitura Municipal de Irapuã, reuniu-se a Agente de Contratação, juntamente com a Comissão de Contratação, regularmente constituída, com o objetivo de realizar o julgamento da documentação de habilitação e dos projetos de venda apresentados pelos proponentes, conforme previsto no edital de credenciamento n.º 001/2025, cujo objeto é a aquisição de gêneros alimentícios da agricultura familiar e do empreendedor familiar rural para atendimento ao Programa Nacional</w:t>
      </w:r>
      <w:r>
        <w:rPr>
          <w:rFonts w:ascii="Arial" w:hAnsi="Arial" w:cs="Arial"/>
          <w:sz w:val="24"/>
          <w:szCs w:val="24"/>
        </w:rPr>
        <w:t xml:space="preserve"> de Alimentação Escolar – PNAE.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Declarada aberta a sessão, deu-se início à análise dos documentos apresentados pelos proponentes habilitados. Procedeu-se à abertura dos envelopes de documentação de habilitação, sendo verificado que ambos os participantes apres</w:t>
      </w:r>
      <w:r>
        <w:rPr>
          <w:rFonts w:ascii="Arial" w:hAnsi="Arial" w:cs="Arial"/>
          <w:sz w:val="24"/>
          <w:szCs w:val="24"/>
        </w:rPr>
        <w:t>entaram pendências documentais.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No que se refere ao proponente KLEBER FERNANDO GENTIL, constatou-se a ausência de comprovação do atendimento aos requisitos higiênico-sanitários, documento obrigatório exigido na cláusula 2.2.1, alínea “d” do edital. Ademais, foram identificadas inconsistências no cálculo do projeto de venda, especificamente nos valores resultantes da multiplicação entre os preços unitários e as respectivas quantidades, o que gerou divergência nos valores totais apresentados, comprometendo a cl</w:t>
      </w:r>
      <w:r>
        <w:rPr>
          <w:rFonts w:ascii="Arial" w:hAnsi="Arial" w:cs="Arial"/>
          <w:sz w:val="24"/>
          <w:szCs w:val="24"/>
        </w:rPr>
        <w:t>areza e a precisão da proposta.</w:t>
      </w:r>
    </w:p>
    <w:p w:rsid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Quanto à COOPERATIVA DOS PISCICULTORES, PRODUTORES DE LEITE E AGRICULTORES FAMILIARES – COOPPLAF, foi igualmente verificada a ausência de prova de atendimento aos requisitos higiênico-sanitários, também em descumprimento à cláusula 2.2.1, alínea “d” do edital. Além disso, a cooperativa não apresentou declaração formal de que os gêneros alimentícios ofertados seriam produzidos pelos seus associados/cooperados, documento exigido na cláusula 2.4.1, alínea “g” do edital.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lastRenderedPageBreak/>
        <w:t>Diante das desconformidades apontadas e com fundamento na cláusula 3.5 do edital, que admite a concessão de prazo para regularização documental em casos de ausência ou inadequação de documentos, a Agente de Contratação deliberou pela concessão de prazo de até 5 (cinco) dias úteis para que os proponentes suprissem as pendências. Para tanto, foram enviadas notificações via e-mail institucional aos respectivos interessados, bem como foi publicada convocação oficial no Diário Oficial do Município, garantindo ampla publicidade e observância aos princípios da lega</w:t>
      </w:r>
      <w:r>
        <w:rPr>
          <w:rFonts w:ascii="Arial" w:hAnsi="Arial" w:cs="Arial"/>
          <w:sz w:val="24"/>
          <w:szCs w:val="24"/>
        </w:rPr>
        <w:t>lidade, publicidade e isonomia.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Transcorrido o prazo concedido, ambos os proponentes apresentaram tempestivamente a documentação complementar necessária, regularizando integralmente as pendên</w:t>
      </w:r>
      <w:r>
        <w:rPr>
          <w:rFonts w:ascii="Arial" w:hAnsi="Arial" w:cs="Arial"/>
          <w:sz w:val="24"/>
          <w:szCs w:val="24"/>
        </w:rPr>
        <w:t>cias anteriormente verificadas.</w:t>
      </w:r>
    </w:p>
    <w:p w:rsid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Regularizada a fase de habilitação, passou-se à etapa de julgamento e seleção dos projetos de venda, em consonância com os critérios esta</w:t>
      </w:r>
      <w:r>
        <w:rPr>
          <w:rFonts w:ascii="Arial" w:hAnsi="Arial" w:cs="Arial"/>
          <w:sz w:val="24"/>
          <w:szCs w:val="24"/>
        </w:rPr>
        <w:t xml:space="preserve">belecidos no item 4.2 do edital </w:t>
      </w:r>
      <w:r w:rsidRPr="00A76711">
        <w:rPr>
          <w:rFonts w:ascii="Arial" w:hAnsi="Arial" w:cs="Arial"/>
          <w:sz w:val="24"/>
          <w:szCs w:val="24"/>
        </w:rPr>
        <w:t>e no artigo 35 da Resolução FNDE/CD n.º 06, de 08 de maio de 2020.</w:t>
      </w:r>
    </w:p>
    <w:p w:rsidR="008C345D" w:rsidRDefault="008C345D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</w:p>
    <w:p w:rsidR="00087191" w:rsidRPr="00087191" w:rsidRDefault="008C345D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“</w:t>
      </w:r>
      <w:r w:rsidR="00087191" w:rsidRPr="00087191">
        <w:rPr>
          <w:rFonts w:ascii="Arial" w:hAnsi="Arial" w:cs="Arial"/>
          <w:i/>
          <w:sz w:val="20"/>
          <w:szCs w:val="20"/>
        </w:rPr>
        <w:t>Art. 35 Para seleção</w:t>
      </w:r>
      <w:proofErr w:type="gramEnd"/>
      <w:r w:rsidR="00087191" w:rsidRPr="00087191">
        <w:rPr>
          <w:rFonts w:ascii="Arial" w:hAnsi="Arial" w:cs="Arial"/>
          <w:i/>
          <w:sz w:val="20"/>
          <w:szCs w:val="20"/>
        </w:rPr>
        <w:t xml:space="preserve">, os projetos de venda (modelos no Anexo VII) habilitados devem ser divididos em: grupo de projetos de fornecedores locais, grupo de projetos das Regiões Geográficas Imediatas, grupo de projetos das Regiões Geográficas Intermediárias, grupo de projetos do estado, e grupo de projetos do país.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§ 1º Entende-se por local, no caso de DAP Física, o município indicado na DAP.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§ 2º Entende-se por local, no caso de DAP Jurídica, o município onde houver a maior quantidade, em números absolutos, de </w:t>
      </w:r>
      <w:proofErr w:type="spellStart"/>
      <w:r w:rsidRPr="00087191">
        <w:rPr>
          <w:rFonts w:ascii="Arial" w:hAnsi="Arial" w:cs="Arial"/>
          <w:i/>
          <w:sz w:val="20"/>
          <w:szCs w:val="20"/>
        </w:rPr>
        <w:t>DAPs</w:t>
      </w:r>
      <w:proofErr w:type="spellEnd"/>
      <w:r w:rsidRPr="00087191">
        <w:rPr>
          <w:rFonts w:ascii="Arial" w:hAnsi="Arial" w:cs="Arial"/>
          <w:i/>
          <w:sz w:val="20"/>
          <w:szCs w:val="20"/>
        </w:rPr>
        <w:t xml:space="preserve"> Físicas registradas no extrato da DAP Jurídica.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>§ 3º Entre os grupos de projetos, deve ser observada a seguinte ordem de prioridade para seleção: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>I – o grupo de projetos de fornecedores locais tem prioridade sobre os demais grupos;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II – o grupo de projetos de fornecedores de Região Geográfica Imediata tem prioridade sobre o de Região Geográfica Intermediária, o do estado e o do País;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III – o grupo de projetos de fornecedores da Região Geográfica Intermediária tem prioridade sobre o do estado e do país;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IV – o grupo de projetos do estado tem prioridade sobre o do País.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>§ 4º Em cada grupo de projetos, deve-se observar a seguinte ordem de prioridade para seleção: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I – os assentamentos de reforma agrária, as comunidades tradicionais indígenas e as comunidades quilombolas, não havendo prioridade entre estes;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a) para efeitos do disposto neste inciso, devem ser considerados Grupos Formais e Grupos Informais de assentamentos da reforma agrária, comunidades quilombolas e/ou indígenas aqueles em que a composição seja de, no mínimo, 50%+1 (cinquenta por cento mais um) dos cooperados/associados das organizações produtivas respectivamente, conforme identificação </w:t>
      </w:r>
      <w:proofErr w:type="gramStart"/>
      <w:r w:rsidRPr="00087191">
        <w:rPr>
          <w:rFonts w:ascii="Arial" w:hAnsi="Arial" w:cs="Arial"/>
          <w:i/>
          <w:sz w:val="20"/>
          <w:szCs w:val="20"/>
        </w:rPr>
        <w:t>na(</w:t>
      </w:r>
      <w:proofErr w:type="gramEnd"/>
      <w:r w:rsidRPr="00087191">
        <w:rPr>
          <w:rFonts w:ascii="Arial" w:hAnsi="Arial" w:cs="Arial"/>
          <w:i/>
          <w:sz w:val="20"/>
          <w:szCs w:val="20"/>
        </w:rPr>
        <w:t xml:space="preserve">s) DAP(s);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b) no caso de empate entre Grupos Formais de assentamentos da reforma agrária, comunidades quilombolas e/ou indígenas, em referência ao disposto no § 4º inciso I deste artigo, têm prioridade organizações produtivas com maior porcentagem de assentados da reforma agrária, quilombolas ou indígenas no seu </w:t>
      </w:r>
      <w:r w:rsidRPr="00087191">
        <w:rPr>
          <w:rFonts w:ascii="Arial" w:hAnsi="Arial" w:cs="Arial"/>
          <w:i/>
          <w:sz w:val="20"/>
          <w:szCs w:val="20"/>
        </w:rPr>
        <w:lastRenderedPageBreak/>
        <w:t xml:space="preserve">quadro de associados/cooperados. Para empate entre Grupos Informais, terão prioridade os grupos com maior porcentagem de fornecedores assentados da reforma agrária, quilombolas ou indígenas, conforme identificação na(s) DAP(s).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II – os fornecedores de gêneros alimentícios certificados como orgânicos ou agroecológicos, segundo a Lei nº 10.831/2003, o Decreto nº 6.323/2007 e devido cadastro no MAPA;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III – os Grupos Formais sobre os Grupos Informais, estes sobre os Fornecedores Individuais, e estes, sobre Cooperativas Centrais da Agricultura Familiar (detentoras de DAP Jurídica conforme Portarias do MAPA que regulamentam a DAP);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a) no caso de empate entre Grupos Formais, em referência ao disposto no § 4º inciso III deste artigo, têm prioridade organizações produtivas com maior porcentagem de agricultores familiares 16 e/ou empreendedores familiares rurais no seu quadro de associados/ cooperados, conforme DAP Jurídica; </w:t>
      </w:r>
    </w:p>
    <w:p w:rsidR="0008719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b) em caso de persistência de empate, deve ser realizado sorteio ou, em havendo consenso entre as partes, pode-se optar pela divisão no fornecimento dos produtos a serem adquiridos entre as organizações finalistas. </w:t>
      </w:r>
    </w:p>
    <w:p w:rsidR="00A76711" w:rsidRPr="00087191" w:rsidRDefault="00087191" w:rsidP="00087191">
      <w:pPr>
        <w:spacing w:after="40"/>
        <w:ind w:left="2268"/>
        <w:rPr>
          <w:rFonts w:ascii="Arial" w:hAnsi="Arial" w:cs="Arial"/>
          <w:i/>
          <w:sz w:val="20"/>
          <w:szCs w:val="20"/>
        </w:rPr>
      </w:pPr>
      <w:r w:rsidRPr="00087191">
        <w:rPr>
          <w:rFonts w:ascii="Arial" w:hAnsi="Arial" w:cs="Arial"/>
          <w:i/>
          <w:sz w:val="20"/>
          <w:szCs w:val="20"/>
        </w:rPr>
        <w:t xml:space="preserve">IV – Caso a </w:t>
      </w:r>
      <w:proofErr w:type="spellStart"/>
      <w:proofErr w:type="gramStart"/>
      <w:r w:rsidRPr="00087191">
        <w:rPr>
          <w:rFonts w:ascii="Arial" w:hAnsi="Arial" w:cs="Arial"/>
          <w:i/>
          <w:sz w:val="20"/>
          <w:szCs w:val="20"/>
        </w:rPr>
        <w:t>EEx</w:t>
      </w:r>
      <w:proofErr w:type="spellEnd"/>
      <w:proofErr w:type="gramEnd"/>
      <w:r w:rsidRPr="00087191">
        <w:rPr>
          <w:rFonts w:ascii="Arial" w:hAnsi="Arial" w:cs="Arial"/>
          <w:i/>
          <w:sz w:val="20"/>
          <w:szCs w:val="20"/>
        </w:rPr>
        <w:t xml:space="preserve"> não obtenha as quantidades necessárias de produtos oriundos do grupo de projetos de </w:t>
      </w:r>
      <w:proofErr w:type="spellStart"/>
      <w:r w:rsidRPr="00087191">
        <w:rPr>
          <w:rFonts w:ascii="Arial" w:hAnsi="Arial" w:cs="Arial"/>
          <w:i/>
          <w:sz w:val="20"/>
          <w:szCs w:val="20"/>
        </w:rPr>
        <w:t>fornecedoreslocais</w:t>
      </w:r>
      <w:proofErr w:type="spellEnd"/>
      <w:r w:rsidRPr="00087191">
        <w:rPr>
          <w:rFonts w:ascii="Arial" w:hAnsi="Arial" w:cs="Arial"/>
          <w:i/>
          <w:sz w:val="20"/>
          <w:szCs w:val="20"/>
        </w:rPr>
        <w:t>, estas devem ser complementadas com os projetos dos demais grupos, de acordo com os critérios de seleção e priorização estabelecidos no caput e nos § 1º e §2º;</w:t>
      </w:r>
      <w:r w:rsidR="008C345D">
        <w:rPr>
          <w:rFonts w:ascii="Arial" w:hAnsi="Arial" w:cs="Arial"/>
          <w:i/>
          <w:sz w:val="20"/>
          <w:szCs w:val="20"/>
        </w:rPr>
        <w:t>”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Conforme dispõe a legislação, a seleção dos projetos deve priorizar os fornecedores locais e, dentro dos grupos definidos, observar a seguinte ordem de prioridade: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I – fornecedores locais;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II – grupos formais sobre os informais;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III – fornecedores individuais;</w:t>
      </w:r>
    </w:p>
    <w:p w:rsid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IV – cooperativas centrais, conforme §4º do ar</w:t>
      </w:r>
      <w:r w:rsidR="00087191">
        <w:rPr>
          <w:rFonts w:ascii="Arial" w:hAnsi="Arial" w:cs="Arial"/>
          <w:sz w:val="24"/>
          <w:szCs w:val="24"/>
        </w:rPr>
        <w:t>t. 35 da Resolução n.º 06/2020.</w:t>
      </w:r>
    </w:p>
    <w:p w:rsidR="00087191" w:rsidRPr="00A76711" w:rsidRDefault="00087191" w:rsidP="00A76711">
      <w:pPr>
        <w:rPr>
          <w:rFonts w:ascii="Arial" w:hAnsi="Arial" w:cs="Arial"/>
          <w:sz w:val="24"/>
          <w:szCs w:val="24"/>
        </w:rPr>
      </w:pP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Tendo havido participação de fornecedor local, e observadas as diretrizes legais, os projetos foram classificados na seguinte ordem de prioridade:</w:t>
      </w:r>
    </w:p>
    <w:p w:rsidR="00A76711" w:rsidRPr="008C345D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ab/>
        <w:t>1.</w:t>
      </w:r>
      <w:r w:rsidRPr="00A76711">
        <w:rPr>
          <w:rFonts w:ascii="Arial" w:hAnsi="Arial" w:cs="Arial"/>
          <w:sz w:val="24"/>
          <w:szCs w:val="24"/>
        </w:rPr>
        <w:tab/>
        <w:t xml:space="preserve">Fornecedor Local: KLEBER FERNANDO GENTIL, inscrito no </w:t>
      </w:r>
      <w:r w:rsidRPr="008C345D">
        <w:rPr>
          <w:rFonts w:ascii="Arial" w:hAnsi="Arial" w:cs="Arial"/>
          <w:sz w:val="24"/>
          <w:szCs w:val="24"/>
        </w:rPr>
        <w:t xml:space="preserve">CPF n.º </w:t>
      </w:r>
      <w:r w:rsidR="008C345D" w:rsidRPr="008C345D">
        <w:rPr>
          <w:rFonts w:ascii="Arial" w:hAnsi="Arial" w:cs="Arial"/>
          <w:sz w:val="24"/>
          <w:szCs w:val="24"/>
        </w:rPr>
        <w:t>299.798.788-19;</w:t>
      </w:r>
    </w:p>
    <w:p w:rsid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ab/>
        <w:t>2.</w:t>
      </w:r>
      <w:r w:rsidRPr="00A76711">
        <w:rPr>
          <w:rFonts w:ascii="Arial" w:hAnsi="Arial" w:cs="Arial"/>
          <w:sz w:val="24"/>
          <w:szCs w:val="24"/>
        </w:rPr>
        <w:tab/>
        <w:t>Grupo Formal: COOPERATIVA DOS PISCICULTORES, PRODUTORES DE LEITE E AGRICULTORES FAMILIAR</w:t>
      </w:r>
      <w:r w:rsidR="008C345D">
        <w:rPr>
          <w:rFonts w:ascii="Arial" w:hAnsi="Arial" w:cs="Arial"/>
          <w:sz w:val="24"/>
          <w:szCs w:val="24"/>
        </w:rPr>
        <w:t xml:space="preserve">ES – COOPPLAF, inscrita no CNPJ </w:t>
      </w:r>
      <w:r w:rsidRPr="008C345D">
        <w:rPr>
          <w:rFonts w:ascii="Arial" w:hAnsi="Arial" w:cs="Arial"/>
          <w:sz w:val="24"/>
          <w:szCs w:val="24"/>
        </w:rPr>
        <w:t>n</w:t>
      </w:r>
      <w:r w:rsidR="008C345D">
        <w:rPr>
          <w:rFonts w:ascii="Arial" w:hAnsi="Arial" w:cs="Arial"/>
          <w:sz w:val="24"/>
          <w:szCs w:val="24"/>
        </w:rPr>
        <w:t>°</w:t>
      </w:r>
      <w:r w:rsidRPr="008C345D">
        <w:rPr>
          <w:rFonts w:ascii="Arial" w:hAnsi="Arial" w:cs="Arial"/>
          <w:sz w:val="24"/>
          <w:szCs w:val="24"/>
        </w:rPr>
        <w:t>.</w:t>
      </w:r>
      <w:r w:rsidR="008C345D">
        <w:rPr>
          <w:rFonts w:ascii="Arial" w:hAnsi="Arial" w:cs="Arial"/>
          <w:sz w:val="24"/>
          <w:szCs w:val="24"/>
        </w:rPr>
        <w:t xml:space="preserve"> </w:t>
      </w:r>
      <w:r w:rsidR="008C345D" w:rsidRPr="008C345D">
        <w:rPr>
          <w:rFonts w:ascii="Arial" w:hAnsi="Arial" w:cs="Arial"/>
          <w:sz w:val="24"/>
          <w:szCs w:val="24"/>
        </w:rPr>
        <w:t>49.840.018/0001-90</w:t>
      </w:r>
      <w:r w:rsidRPr="008C345D">
        <w:rPr>
          <w:rFonts w:ascii="Arial" w:hAnsi="Arial" w:cs="Arial"/>
          <w:sz w:val="24"/>
          <w:szCs w:val="24"/>
        </w:rPr>
        <w:t xml:space="preserve">, representada pelo Sr. </w:t>
      </w:r>
      <w:r w:rsidR="008C345D" w:rsidRPr="008C345D">
        <w:rPr>
          <w:rFonts w:ascii="Arial" w:hAnsi="Arial" w:cs="Arial"/>
          <w:sz w:val="24"/>
          <w:szCs w:val="24"/>
        </w:rPr>
        <w:t xml:space="preserve">Elton Jose </w:t>
      </w:r>
      <w:proofErr w:type="spellStart"/>
      <w:r w:rsidR="008C345D" w:rsidRPr="008C345D">
        <w:rPr>
          <w:rFonts w:ascii="Arial" w:hAnsi="Arial" w:cs="Arial"/>
          <w:sz w:val="24"/>
          <w:szCs w:val="24"/>
        </w:rPr>
        <w:t>Torelli</w:t>
      </w:r>
      <w:proofErr w:type="spellEnd"/>
      <w:r w:rsidRPr="008C345D">
        <w:rPr>
          <w:rFonts w:ascii="Arial" w:hAnsi="Arial" w:cs="Arial"/>
          <w:sz w:val="24"/>
          <w:szCs w:val="24"/>
        </w:rPr>
        <w:t xml:space="preserve">, inscrito no CPF n.º </w:t>
      </w:r>
      <w:r w:rsidR="008C345D" w:rsidRPr="008C345D">
        <w:rPr>
          <w:rFonts w:ascii="Arial" w:hAnsi="Arial" w:cs="Arial"/>
          <w:sz w:val="24"/>
          <w:szCs w:val="24"/>
        </w:rPr>
        <w:t>329.684.918-</w:t>
      </w:r>
      <w:proofErr w:type="gramStart"/>
      <w:r w:rsidR="008C345D" w:rsidRPr="008C345D">
        <w:rPr>
          <w:rFonts w:ascii="Arial" w:hAnsi="Arial" w:cs="Arial"/>
          <w:sz w:val="24"/>
          <w:szCs w:val="24"/>
        </w:rPr>
        <w:t>14</w:t>
      </w:r>
      <w:proofErr w:type="gramEnd"/>
    </w:p>
    <w:p w:rsidR="008C345D" w:rsidRPr="00A76711" w:rsidRDefault="008C345D" w:rsidP="00A76711">
      <w:pPr>
        <w:rPr>
          <w:rFonts w:ascii="Arial" w:hAnsi="Arial" w:cs="Arial"/>
          <w:sz w:val="24"/>
          <w:szCs w:val="24"/>
        </w:rPr>
      </w:pPr>
    </w:p>
    <w:p w:rsid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 xml:space="preserve">Na sequência, deu-se a verificação dos preços e quantitativos ofertados, em confronto com os preços referenciais estabelecidos no edital, concluindo-se que as propostas </w:t>
      </w:r>
      <w:r w:rsidRPr="00A76711">
        <w:rPr>
          <w:rFonts w:ascii="Arial" w:hAnsi="Arial" w:cs="Arial"/>
          <w:sz w:val="24"/>
          <w:szCs w:val="24"/>
        </w:rPr>
        <w:lastRenderedPageBreak/>
        <w:t xml:space="preserve">estavam em conformidade </w:t>
      </w:r>
      <w:r w:rsidR="00087191">
        <w:rPr>
          <w:rFonts w:ascii="Arial" w:hAnsi="Arial" w:cs="Arial"/>
          <w:sz w:val="24"/>
          <w:szCs w:val="24"/>
        </w:rPr>
        <w:t>com os parâmetros estabelecidos e resultando na seguinte classificação</w:t>
      </w:r>
      <w:r w:rsidR="008C345D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Ind w:w="-1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1134"/>
        <w:gridCol w:w="3968"/>
        <w:gridCol w:w="1800"/>
        <w:gridCol w:w="2168"/>
      </w:tblGrid>
      <w:tr w:rsidR="00AB6DAC" w:rsidTr="00AB6DAC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1056" w:type="dxa"/>
            <w:gridSpan w:val="6"/>
          </w:tcPr>
          <w:p w:rsidR="00AB6DAC" w:rsidRDefault="00AB6DAC" w:rsidP="00AB6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1° - </w:t>
            </w:r>
            <w:r w:rsidRPr="00A76711">
              <w:rPr>
                <w:rFonts w:ascii="Arial" w:hAnsi="Arial" w:cs="Arial"/>
                <w:sz w:val="24"/>
                <w:szCs w:val="24"/>
              </w:rPr>
              <w:t>KLEBER FERNANDO GENTIL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6DAC" w:rsidRPr="0030603D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ITEM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QUANT 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DESCRIÇÃO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VALOR UNIT.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VALOR TOTAL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 w:rsidRPr="0030603D">
              <w:rPr>
                <w:rFonts w:cstheme="minorHAnsi"/>
                <w:b/>
                <w:i/>
                <w:i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MAÇO C/ APROX. 400 GRAMAS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COUVE FOLHA FRESCO, 1º QUALIDADE, SEM QUEIMADURAS NAS FOLHAS, FIRME, COM COR CARACTERÍSTICA, ISENTA DE SUJIDADES, PARASITAS E LARVAS.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8,99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2.2</w:t>
            </w:r>
            <w:r>
              <w:rPr>
                <w:rFonts w:cstheme="minorHAnsi"/>
                <w:i/>
                <w:iCs/>
                <w:sz w:val="20"/>
                <w:szCs w:val="20"/>
              </w:rPr>
              <w:t>47,50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 w:rsidRPr="0030603D">
              <w:rPr>
                <w:rFonts w:cstheme="minorHAnsi"/>
                <w:b/>
                <w:i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MAÇO C/ 400 GRAMAS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ALFACE CRESPA FRESCA, 1º QUALIDADE, SEM QUEIMADURAS NAS FOLHAS, COM COR CARACTERÍSTICA, COMPACTA E FIRME ISENTA DE SUJIDADES, PARASITAS E LARVAS.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8,99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4.495,00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CENOURA FRESCA DE BOA QUALIDADE, FIRME, CASCA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LIMPA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8,93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8.930,00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MANDIOCA TIPO BRANCA OU AMARELA, DE 1º QUALIDADE, PARA CONSUMO HUMANO, RAÍZES GRANDES, NO GRAU NORMAL DE EVOLUÇÃO, TAMANHO UNIFORME, FRESCA, COM CASCA INTEIRA, SEM RUPTURAS OU DEFEITOS,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NÃO FIBROSA, LIVRE DE TERRA E CORPOS ESTRANHOS</w:t>
            </w:r>
            <w:proofErr w:type="gramEnd"/>
            <w:r w:rsidRPr="00B813E8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8,46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8.460,00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350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ABOBRINHA PAULISTA, 1º QUALIDADE, FIRMES, SEM ESCORIAÇÕES NA CASCA, SEM SUJIDADES.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6,71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2.348,50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VAGEM FRESCA, 1º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QUALIDADE,</w:t>
            </w:r>
            <w:proofErr w:type="gramEnd"/>
            <w:r w:rsidRPr="00B813E8">
              <w:rPr>
                <w:rFonts w:cstheme="minorHAnsi"/>
                <w:i/>
                <w:iCs/>
                <w:sz w:val="20"/>
                <w:szCs w:val="20"/>
              </w:rPr>
              <w:t>COR VERDE ESCURA,TAMANHO E COLORAÇÃOUNIFORMES,FIRME E COMPACTA, LIVRE DE RESIDUOS DE FERTILIZANTES,ISENTO DE ENFERMIDADE,PARASITAS E LARVAS,MATERIAL TERROSO ESUJIDADE,SEM DANOS FÍSICO.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27,13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4.069,50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1.000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MAMÃO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FORMOSA,</w:t>
            </w:r>
            <w:proofErr w:type="gramEnd"/>
            <w:r w:rsidRPr="00B813E8">
              <w:rPr>
                <w:rFonts w:cstheme="minorHAnsi"/>
                <w:i/>
                <w:iCs/>
                <w:sz w:val="20"/>
                <w:szCs w:val="20"/>
              </w:rPr>
              <w:t>1 QUALIDADE, IN NATUTA, SEM MANCHAS, TAMANHO MÉDIO, SEM DANOS FÍSICOS OU MECANICOS.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11,30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11.300,00</w:t>
            </w:r>
          </w:p>
        </w:tc>
      </w:tr>
      <w:tr w:rsidR="00AB6DAC" w:rsidRPr="00051A8F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PIMENTÃO VERDE: OS FRUTOS DEVEM APRESENTAR-SE LIMPOS, FIRMES E COM CASCA BRILHANTE. SERÃO ADMITIDAS VARIEDADES DE COLORAÇÃO VERDE, NÃO DEVERÃO APRESENTAR DANOS MECÂNICOS, </w:t>
            </w:r>
            <w:r w:rsidRPr="00B813E8">
              <w:rPr>
                <w:rFonts w:cstheme="minorHAnsi"/>
                <w:i/>
                <w:iCs/>
                <w:sz w:val="20"/>
                <w:szCs w:val="20"/>
              </w:rPr>
              <w:lastRenderedPageBreak/>
              <w:t>MURCHAMENTO, QUEIMADURAS E PODRIDÕES.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lastRenderedPageBreak/>
              <w:t>12,96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="00AB6DAC" w:rsidRPr="00051A8F" w:rsidRDefault="00AB6DAC" w:rsidP="00F32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648</w:t>
            </w:r>
            <w:r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lastRenderedPageBreak/>
              <w:t>9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ABOBORA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CABOTIAN:</w:t>
            </w:r>
            <w:proofErr w:type="gramEnd"/>
            <w:r w:rsidRPr="00B813E8">
              <w:rPr>
                <w:rFonts w:cstheme="minorHAnsi"/>
                <w:i/>
                <w:iCs/>
                <w:sz w:val="20"/>
                <w:szCs w:val="20"/>
              </w:rPr>
              <w:t>CASCA SEM BRILHO,FRUTO SEM FERIMENTOS,SEM MACHUCADOS,SEM SINAIS DE MOFOS E PODRIDÃO.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6,90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1.725,00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MAÇO COM NO MINIMO 250 GRAMAS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CHEIRO VERDE 1º QUALIDADE, SEM QUEIMADURAS NAS FOLHAS, COM COR CARACTERÍSTICA, COMPACTA E FIRME ISENTA DE SUJIDADES, PARASITAS E LARVAS.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8,63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2.157,50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 xml:space="preserve">KG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LIMÃO: CASCA SEM BRILHO, FRUTO SEM FERIMENTOS, SEM MACHUCADOS, SEM SINAIS DE MOFO OU PODRIDÃO.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6,49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973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,50</w:t>
            </w:r>
          </w:p>
        </w:tc>
      </w:tr>
      <w:tr w:rsidR="00AB6DAC" w:rsidRPr="00B813E8" w:rsidTr="00AB6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PEPINO CAIPIRA: CASCA SEM BRILHO, FRUTO SEM FERIMENTOS, SEM MACHUCADOS, SEM SINAIS DE MOFO OU PODRIDÃO.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7,96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2.388,00</w:t>
            </w:r>
          </w:p>
        </w:tc>
      </w:tr>
      <w:tr w:rsidR="00AB6DAC" w:rsidRPr="00051A8F" w:rsidTr="00AB6DA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056" w:type="dxa"/>
            <w:gridSpan w:val="6"/>
          </w:tcPr>
          <w:p w:rsidR="00AB6DAC" w:rsidRPr="0030603D" w:rsidRDefault="00AB6DAC" w:rsidP="00F32BD9">
            <w:pPr>
              <w:autoSpaceDE w:val="0"/>
              <w:autoSpaceDN w:val="0"/>
              <w:adjustRightInd w:val="0"/>
              <w:spacing w:line="277" w:lineRule="auto"/>
              <w:jc w:val="both"/>
              <w:rPr>
                <w:rFonts w:eastAsia="BatangChe" w:cstheme="minorHAnsi"/>
                <w:sz w:val="20"/>
                <w:szCs w:val="20"/>
              </w:rPr>
            </w:pPr>
          </w:p>
          <w:p w:rsidR="00AB6DAC" w:rsidRPr="00051A8F" w:rsidRDefault="00AB6DAC" w:rsidP="00AB6DAC">
            <w:pPr>
              <w:autoSpaceDE w:val="0"/>
              <w:autoSpaceDN w:val="0"/>
              <w:adjustRightInd w:val="0"/>
              <w:spacing w:line="277" w:lineRule="auto"/>
              <w:jc w:val="both"/>
              <w:rPr>
                <w:rFonts w:eastAsia="BatangChe" w:cstheme="minorHAnsi"/>
                <w:b/>
              </w:rPr>
            </w:pPr>
            <w:r w:rsidRPr="00051A8F">
              <w:rPr>
                <w:rFonts w:eastAsia="BatangChe" w:cstheme="minorHAnsi"/>
                <w:b/>
              </w:rPr>
              <w:t>VALOR TOTAL &gt;&gt;&gt;&gt;&gt;&gt;&gt;&gt;&gt;&gt;&gt;&gt;&gt;&gt;&gt;&gt;&gt;&gt;&gt;&gt;&gt;&gt;&gt;&gt;&gt;&gt;&gt;&gt;&gt;&gt;&gt;&gt;&gt;&gt;&gt;&gt;&gt;&gt;&gt;&gt;&gt;&gt;&gt;&gt;&gt;&gt;&gt;&gt;&gt;&gt;&gt;&gt;&gt;&gt;&gt;&gt;&gt;&gt;&gt;&gt; R$</w:t>
            </w:r>
            <w:r>
              <w:rPr>
                <w:rFonts w:eastAsia="BatangChe" w:cstheme="minorHAnsi"/>
                <w:b/>
              </w:rPr>
              <w:t xml:space="preserve"> 49.</w:t>
            </w:r>
            <w:r>
              <w:rPr>
                <w:rFonts w:eastAsia="BatangChe" w:cstheme="minorHAnsi"/>
                <w:b/>
              </w:rPr>
              <w:t>742</w:t>
            </w:r>
            <w:r>
              <w:rPr>
                <w:rFonts w:eastAsia="BatangChe" w:cstheme="minorHAnsi"/>
                <w:b/>
              </w:rPr>
              <w:t>,50</w:t>
            </w:r>
          </w:p>
        </w:tc>
      </w:tr>
    </w:tbl>
    <w:p w:rsidR="00A76711" w:rsidRDefault="00A76711" w:rsidP="00A76711">
      <w:pPr>
        <w:rPr>
          <w:rFonts w:ascii="Arial" w:hAnsi="Arial" w:cs="Arial"/>
          <w:sz w:val="24"/>
          <w:szCs w:val="24"/>
        </w:rPr>
      </w:pPr>
    </w:p>
    <w:p w:rsidR="00AB6DAC" w:rsidRDefault="00AB6DAC" w:rsidP="00A7671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-1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1134"/>
        <w:gridCol w:w="3968"/>
        <w:gridCol w:w="1800"/>
        <w:gridCol w:w="2168"/>
      </w:tblGrid>
      <w:tr w:rsidR="00AB6DAC" w:rsidTr="00F32BD9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1056" w:type="dxa"/>
            <w:gridSpan w:val="6"/>
          </w:tcPr>
          <w:p w:rsidR="00AB6DAC" w:rsidRDefault="00FF1CB1" w:rsidP="00F32B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B6DAC">
              <w:rPr>
                <w:rFonts w:ascii="Arial" w:hAnsi="Arial" w:cs="Arial"/>
                <w:sz w:val="24"/>
                <w:szCs w:val="24"/>
              </w:rPr>
              <w:t xml:space="preserve">° - </w:t>
            </w:r>
            <w:r w:rsidR="00AB6DAC" w:rsidRPr="00A76711">
              <w:rPr>
                <w:rFonts w:ascii="Arial" w:hAnsi="Arial" w:cs="Arial"/>
                <w:sz w:val="24"/>
                <w:szCs w:val="24"/>
              </w:rPr>
              <w:t>COOPERATIVA DOS PISCICULTORES, PRODUTORES DE LEITE E AGRICULTORES FAMILIAR</w:t>
            </w:r>
            <w:r w:rsidR="00AB6DAC">
              <w:rPr>
                <w:rFonts w:ascii="Arial" w:hAnsi="Arial" w:cs="Arial"/>
                <w:sz w:val="24"/>
                <w:szCs w:val="24"/>
              </w:rPr>
              <w:t xml:space="preserve">ES – </w:t>
            </w:r>
            <w:proofErr w:type="gramStart"/>
            <w:r w:rsidR="00AB6DAC">
              <w:rPr>
                <w:rFonts w:ascii="Arial" w:hAnsi="Arial" w:cs="Arial"/>
                <w:sz w:val="24"/>
                <w:szCs w:val="24"/>
              </w:rPr>
              <w:t>COOPPLAF</w:t>
            </w:r>
            <w:proofErr w:type="gramEnd"/>
            <w:r w:rsidR="00AB6D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6DAC" w:rsidRPr="0030603D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ITEM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QUANT 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DESCRIÇÃO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VALOR UNIT.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6DAC" w:rsidRPr="0030603D" w:rsidRDefault="00AB6DAC" w:rsidP="00F32BD9">
            <w:pPr>
              <w:spacing w:line="277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VALOR TOTAL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 w:rsidRPr="0030603D">
              <w:rPr>
                <w:rFonts w:cstheme="minorHAnsi"/>
                <w:b/>
                <w:i/>
                <w:i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MAÇO C/ APROX. 400 GRAMAS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COUVE FOLHA FRESCO, 1º QUALIDADE, SEM QUEIMADURAS NAS FOLHAS, FIRME, COM COR CARACTERÍSTICA, ISENTA DE SUJIDADES, PARASITAS E LARVAS.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8,99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2.247,50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 w:rsidRPr="0030603D">
              <w:rPr>
                <w:rFonts w:cstheme="minorHAnsi"/>
                <w:b/>
                <w:i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MAÇO C/ 400 GRAMAS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ALFACE CRESPA FRESCA, 1º QUALIDADE, SEM QUEIMADURAS NAS FOLHAS, COM COR CARACTERÍSTICA, COMPACTA E FIRME ISENTA DE SUJIDADES, PARASITAS E LARVAS.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8,99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4.495,00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CENOURA FRESCA DE BOA QUALIDADE, FIRME, CASCA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LIMPA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8,93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8.930,00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MANDIOCA TIPO BRANCA OU AMARELA, DE 1º QUALIDADE, PARA CONSUMO HUMANO, RAÍZES GRANDES, NO GRAU NORMAL DE EVOLUÇÃO, TAMANHO UNIFORME, FRESCA, </w:t>
            </w:r>
            <w:r w:rsidRPr="00B813E8">
              <w:rPr>
                <w:rFonts w:cstheme="minorHAnsi"/>
                <w:i/>
                <w:iCs/>
                <w:sz w:val="20"/>
                <w:szCs w:val="20"/>
              </w:rPr>
              <w:lastRenderedPageBreak/>
              <w:t xml:space="preserve">COM CASCA INTEIRA, SEM RUPTURAS OU DEFEITOS,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NÃO FIBROSA, LIVRE DE TERRA E CORPOS ESTRANHOS</w:t>
            </w:r>
            <w:proofErr w:type="gramEnd"/>
            <w:r w:rsidRPr="00B813E8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lastRenderedPageBreak/>
              <w:t>8,46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8.460,00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lastRenderedPageBreak/>
              <w:t>5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350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ABOBRINHA PAULISTA, 1º QUALIDADE, FIRMES, SEM ESCORIAÇÕES NA CASCA, SEM SUJIDADES.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6,71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2.348,50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VAGEM FRESCA, 1º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QUALIDADE,</w:t>
            </w:r>
            <w:proofErr w:type="gramEnd"/>
            <w:r w:rsidRPr="00B813E8">
              <w:rPr>
                <w:rFonts w:cstheme="minorHAnsi"/>
                <w:i/>
                <w:iCs/>
                <w:sz w:val="20"/>
                <w:szCs w:val="20"/>
              </w:rPr>
              <w:t>COR VERDE ESCURA,TAMANHO E COLORAÇÃOUNIFORMES,FIRME E COMPACTA, LIVRE DE RESIDUOS DE FERTILIZANTES,ISENTO DE ENFERMIDADE,PARASITAS E LARVAS,MATERIAL TERROSO ESUJIDADE,SEM DANOS FÍSICO.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27,13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4.069,50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1.000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MAMÃO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FORMOSA,</w:t>
            </w:r>
            <w:proofErr w:type="gramEnd"/>
            <w:r w:rsidRPr="00B813E8">
              <w:rPr>
                <w:rFonts w:cstheme="minorHAnsi"/>
                <w:i/>
                <w:iCs/>
                <w:sz w:val="20"/>
                <w:szCs w:val="20"/>
              </w:rPr>
              <w:t>1 QUALIDADE, IN NATUTA, SEM MANCHAS, TAMANHO MÉDIO, SEM DANOS FÍSICOS OU MECANICOS.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11,30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11.300,00</w:t>
            </w:r>
          </w:p>
        </w:tc>
      </w:tr>
      <w:tr w:rsidR="00AB6DAC" w:rsidRPr="00051A8F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PIMENTÃO VERDE: OS FRUTOS DEVEM APRESENTAR-SE LIMPOS, FIRMES E COM CASCA BRILHANTE. SERÃO ADMITIDAS VARIEDADES DE COLORAÇÃO VERDE, NÃO DEVERÃO APRESENTAR DANOS MECÂNICOS, MURCHAMENTO, QUEIMADURAS E PODRIDÕES.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12,96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="00AB6DAC" w:rsidRPr="00051A8F" w:rsidRDefault="00AB6DAC" w:rsidP="00F32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648,00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i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 xml:space="preserve">ABOBORA </w:t>
            </w:r>
            <w:proofErr w:type="gramStart"/>
            <w:r w:rsidRPr="00B813E8">
              <w:rPr>
                <w:rFonts w:cstheme="minorHAnsi"/>
                <w:i/>
                <w:iCs/>
                <w:sz w:val="20"/>
                <w:szCs w:val="20"/>
              </w:rPr>
              <w:t>CABOTIAN:</w:t>
            </w:r>
            <w:proofErr w:type="gramEnd"/>
            <w:r w:rsidRPr="00B813E8">
              <w:rPr>
                <w:rFonts w:cstheme="minorHAnsi"/>
                <w:i/>
                <w:iCs/>
                <w:sz w:val="20"/>
                <w:szCs w:val="20"/>
              </w:rPr>
              <w:t>CASCA SEM BRILHO,FRUTO SEM FERIMENTOS,SEM MACHUCADOS,SEM SINAIS DE MOFOS E PODRIDÃO.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6,90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1.725,00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MAÇO COM NO MINIMO 250 GRAMAS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CHEIRO VERDE 1º QUALIDADE, SEM QUEIMADURAS NAS FOLHAS, COM COR CARACTERÍSTICA, COMPACTA E FIRME ISENTA DE SUJIDADES, PARASITAS E LARVAS.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8,63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2.157,50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 xml:space="preserve">KG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LIMÃO: CASCA SEM BRILHO, FRUTO SEM FERIMENTOS, SEM MACHUCADOS, SEM SINAIS DE MOFO OU PODRIDÃO.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6,49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ind w:firstLine="708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973,50</w:t>
            </w:r>
          </w:p>
        </w:tc>
      </w:tr>
      <w:tr w:rsidR="00AB6DAC" w:rsidRPr="00B813E8" w:rsidTr="00F3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30603D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0603D">
              <w:rPr>
                <w:rFonts w:cstheme="minorHAnsi"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AC" w:rsidRPr="00B813E8" w:rsidRDefault="00AB6DAC" w:rsidP="00F32BD9">
            <w:pPr>
              <w:spacing w:line="277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13E8">
              <w:rPr>
                <w:rFonts w:cstheme="minorHAnsi"/>
                <w:i/>
                <w:iCs/>
                <w:sz w:val="20"/>
                <w:szCs w:val="20"/>
              </w:rPr>
              <w:t>PEPINO CAIPIRA: CASCA SEM BRILHO, FRUTO SEM FERIMENTOS, SEM MACHUCADOS, SEM SINAIS DE MOFO OU PODRIDÃO.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7,96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DAC" w:rsidRPr="00B813E8" w:rsidRDefault="00AB6DAC" w:rsidP="00F32BD9">
            <w:pPr>
              <w:spacing w:line="277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2.388,00</w:t>
            </w:r>
          </w:p>
        </w:tc>
      </w:tr>
      <w:tr w:rsidR="00AB6DAC" w:rsidRPr="00051A8F" w:rsidTr="00F32BD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056" w:type="dxa"/>
            <w:gridSpan w:val="6"/>
          </w:tcPr>
          <w:p w:rsidR="00AB6DAC" w:rsidRPr="0030603D" w:rsidRDefault="00AB6DAC" w:rsidP="00F32BD9">
            <w:pPr>
              <w:autoSpaceDE w:val="0"/>
              <w:autoSpaceDN w:val="0"/>
              <w:adjustRightInd w:val="0"/>
              <w:spacing w:line="277" w:lineRule="auto"/>
              <w:jc w:val="both"/>
              <w:rPr>
                <w:rFonts w:eastAsia="BatangChe" w:cstheme="minorHAnsi"/>
                <w:sz w:val="20"/>
                <w:szCs w:val="20"/>
              </w:rPr>
            </w:pPr>
          </w:p>
          <w:p w:rsidR="00AB6DAC" w:rsidRPr="00051A8F" w:rsidRDefault="00AB6DAC" w:rsidP="00F32BD9">
            <w:pPr>
              <w:autoSpaceDE w:val="0"/>
              <w:autoSpaceDN w:val="0"/>
              <w:adjustRightInd w:val="0"/>
              <w:spacing w:line="277" w:lineRule="auto"/>
              <w:jc w:val="both"/>
              <w:rPr>
                <w:rFonts w:eastAsia="BatangChe" w:cstheme="minorHAnsi"/>
                <w:b/>
              </w:rPr>
            </w:pPr>
            <w:r w:rsidRPr="00051A8F">
              <w:rPr>
                <w:rFonts w:eastAsia="BatangChe" w:cstheme="minorHAnsi"/>
                <w:b/>
              </w:rPr>
              <w:t>VALOR TOTAL &gt;&gt;&gt;&gt;&gt;&gt;&gt;&gt;&gt;&gt;&gt;&gt;&gt;&gt;&gt;&gt;&gt;&gt;&gt;&gt;&gt;&gt;&gt;&gt;&gt;&gt;&gt;&gt;&gt;&gt;&gt;&gt;&gt;&gt;&gt;&gt;&gt;&gt;&gt;&gt;&gt;&gt;&gt;&gt;&gt;&gt;&gt;&gt;&gt;&gt;&gt;&gt;&gt;&gt;&gt;&gt;&gt;&gt;&gt;&gt; R$</w:t>
            </w:r>
            <w:r>
              <w:rPr>
                <w:rFonts w:eastAsia="BatangChe" w:cstheme="minorHAnsi"/>
                <w:b/>
              </w:rPr>
              <w:t xml:space="preserve"> 49.742,50</w:t>
            </w:r>
          </w:p>
        </w:tc>
      </w:tr>
    </w:tbl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lastRenderedPageBreak/>
        <w:t xml:space="preserve">Assim, a Agente de Contratação, no exercício de suas atribuições legais, delibera </w:t>
      </w:r>
      <w:proofErr w:type="gramStart"/>
      <w:r w:rsidRPr="00A76711">
        <w:rPr>
          <w:rFonts w:ascii="Arial" w:hAnsi="Arial" w:cs="Arial"/>
          <w:sz w:val="24"/>
          <w:szCs w:val="24"/>
        </w:rPr>
        <w:t>pela</w:t>
      </w:r>
      <w:proofErr w:type="gramEnd"/>
      <w:r w:rsidRPr="00A767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76711">
        <w:rPr>
          <w:rFonts w:ascii="Arial" w:hAnsi="Arial" w:cs="Arial"/>
          <w:sz w:val="24"/>
          <w:szCs w:val="24"/>
        </w:rPr>
        <w:t>abertura</w:t>
      </w:r>
      <w:proofErr w:type="gramEnd"/>
      <w:r w:rsidRPr="00A76711">
        <w:rPr>
          <w:rFonts w:ascii="Arial" w:hAnsi="Arial" w:cs="Arial"/>
          <w:sz w:val="24"/>
          <w:szCs w:val="24"/>
        </w:rPr>
        <w:t xml:space="preserve"> do prazo recursal de 03 (três) dias úteis, contados a partir da data da publicação oficial desta ata, para apresentação de eventual interposição de recursos, nos termos da legislação vigent</w:t>
      </w:r>
      <w:r w:rsidR="00087191">
        <w:rPr>
          <w:rFonts w:ascii="Arial" w:hAnsi="Arial" w:cs="Arial"/>
          <w:sz w:val="24"/>
          <w:szCs w:val="24"/>
        </w:rPr>
        <w:t>e.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 xml:space="preserve">Por fim, determinou-se que o resultado final da presente Chamada Pública será devidamente publicado na Imprensa Oficial do Município, dando ciência aos interessados e garantindo os princípios da </w:t>
      </w:r>
      <w:r w:rsidR="00087191">
        <w:rPr>
          <w:rFonts w:ascii="Arial" w:hAnsi="Arial" w:cs="Arial"/>
          <w:sz w:val="24"/>
          <w:szCs w:val="24"/>
        </w:rPr>
        <w:t>transparência e da publicidade.</w:t>
      </w:r>
    </w:p>
    <w:p w:rsidR="00A76711" w:rsidRPr="00A76711" w:rsidRDefault="00A76711" w:rsidP="00A76711">
      <w:pPr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>Nada mais havendo a tratar, foi encerrada a presente sessão, da qual lavrou-se esta Ata que, após lida e achada conforme, vai a</w:t>
      </w:r>
      <w:r w:rsidR="00087191">
        <w:rPr>
          <w:rFonts w:ascii="Arial" w:hAnsi="Arial" w:cs="Arial"/>
          <w:sz w:val="24"/>
          <w:szCs w:val="24"/>
        </w:rPr>
        <w:t>ssinada por todos os presentes.</w:t>
      </w:r>
    </w:p>
    <w:p w:rsidR="00FF1CB1" w:rsidRDefault="00FF1CB1" w:rsidP="00FF1CB1">
      <w:pPr>
        <w:jc w:val="right"/>
        <w:rPr>
          <w:rFonts w:ascii="Arial" w:hAnsi="Arial" w:cs="Arial"/>
          <w:sz w:val="24"/>
          <w:szCs w:val="24"/>
        </w:rPr>
      </w:pPr>
    </w:p>
    <w:p w:rsidR="00087191" w:rsidRDefault="00A76711" w:rsidP="00FF1CB1">
      <w:pPr>
        <w:jc w:val="right"/>
        <w:rPr>
          <w:rFonts w:ascii="Arial" w:hAnsi="Arial" w:cs="Arial"/>
          <w:sz w:val="24"/>
          <w:szCs w:val="24"/>
        </w:rPr>
      </w:pPr>
      <w:r w:rsidRPr="00A76711">
        <w:rPr>
          <w:rFonts w:ascii="Arial" w:hAnsi="Arial" w:cs="Arial"/>
          <w:sz w:val="24"/>
          <w:szCs w:val="24"/>
        </w:rPr>
        <w:t xml:space="preserve">Irapuã/SP, </w:t>
      </w:r>
      <w:r w:rsidR="00087191">
        <w:rPr>
          <w:rFonts w:ascii="Arial" w:hAnsi="Arial" w:cs="Arial"/>
          <w:sz w:val="24"/>
          <w:szCs w:val="24"/>
        </w:rPr>
        <w:t>2</w:t>
      </w:r>
      <w:r w:rsidRPr="00A76711">
        <w:rPr>
          <w:rFonts w:ascii="Arial" w:hAnsi="Arial" w:cs="Arial"/>
          <w:sz w:val="24"/>
          <w:szCs w:val="24"/>
        </w:rPr>
        <w:t xml:space="preserve">4 de julho de </w:t>
      </w:r>
      <w:proofErr w:type="gramStart"/>
      <w:r w:rsidRPr="00A76711">
        <w:rPr>
          <w:rFonts w:ascii="Arial" w:hAnsi="Arial" w:cs="Arial"/>
          <w:sz w:val="24"/>
          <w:szCs w:val="24"/>
        </w:rPr>
        <w:t>202</w:t>
      </w:r>
      <w:r w:rsidR="00087191">
        <w:rPr>
          <w:rFonts w:ascii="Arial" w:hAnsi="Arial" w:cs="Arial"/>
          <w:sz w:val="24"/>
          <w:szCs w:val="24"/>
        </w:rPr>
        <w:t>5</w:t>
      </w:r>
      <w:proofErr w:type="gramEnd"/>
    </w:p>
    <w:tbl>
      <w:tblPr>
        <w:tblW w:w="5000" w:type="pct"/>
        <w:shd w:val="clear" w:color="auto" w:fill="FFFFFF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4813"/>
        <w:gridCol w:w="4827"/>
      </w:tblGrid>
      <w:tr w:rsidR="00FF1CB1" w:rsidRPr="00FF1CB1" w:rsidTr="00F32BD9">
        <w:tc>
          <w:tcPr>
            <w:tcW w:w="4875" w:type="dxa"/>
            <w:shd w:val="clear" w:color="auto" w:fill="FFFFFF"/>
          </w:tcPr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1CB1">
              <w:rPr>
                <w:rFonts w:ascii="Arial" w:hAnsi="Arial" w:cs="Arial"/>
                <w:sz w:val="20"/>
                <w:szCs w:val="20"/>
              </w:rPr>
              <w:t>Andre</w:t>
            </w:r>
            <w:proofErr w:type="spellEnd"/>
            <w:r w:rsidRPr="00FF1CB1">
              <w:rPr>
                <w:rFonts w:ascii="Arial" w:hAnsi="Arial" w:cs="Arial"/>
                <w:sz w:val="20"/>
                <w:szCs w:val="20"/>
              </w:rPr>
              <w:t xml:space="preserve"> Luiz </w:t>
            </w:r>
            <w:proofErr w:type="spellStart"/>
            <w:r w:rsidRPr="00FF1CB1">
              <w:rPr>
                <w:rFonts w:ascii="Arial" w:hAnsi="Arial" w:cs="Arial"/>
                <w:sz w:val="20"/>
                <w:szCs w:val="20"/>
              </w:rPr>
              <w:t>Venancio</w:t>
            </w:r>
            <w:proofErr w:type="spellEnd"/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CPF</w:t>
            </w:r>
            <w:proofErr w:type="gramStart"/>
            <w:r w:rsidRPr="00FF1CB1"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  <w:r w:rsidRPr="00FF1CB1">
              <w:rPr>
                <w:rFonts w:ascii="Arial" w:hAnsi="Arial" w:cs="Arial"/>
                <w:sz w:val="20"/>
                <w:szCs w:val="20"/>
              </w:rPr>
              <w:t xml:space="preserve"> 356.530.708-07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RG.: 44564829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Cargo: Presidente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PORTARIA: 8808 DE 02/07/2025</w:t>
            </w:r>
          </w:p>
        </w:tc>
        <w:tc>
          <w:tcPr>
            <w:tcW w:w="4890" w:type="dxa"/>
            <w:shd w:val="clear" w:color="auto" w:fill="FFFFFF"/>
          </w:tcPr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Juliana Aparecida de Oliveira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CPF</w:t>
            </w:r>
            <w:proofErr w:type="gramStart"/>
            <w:r w:rsidRPr="00FF1CB1"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  <w:r w:rsidRPr="00FF1CB1">
              <w:rPr>
                <w:rFonts w:ascii="Arial" w:hAnsi="Arial" w:cs="Arial"/>
                <w:sz w:val="20"/>
                <w:szCs w:val="20"/>
              </w:rPr>
              <w:t xml:space="preserve"> 307.355.188-31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RG.: 348755168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Cargo: Membro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PORTARIA: 8808 DE 02/07/2025</w:t>
            </w:r>
          </w:p>
        </w:tc>
      </w:tr>
      <w:tr w:rsidR="00FF1CB1" w:rsidRPr="00FF1CB1" w:rsidTr="00F32BD9">
        <w:tc>
          <w:tcPr>
            <w:tcW w:w="4875" w:type="dxa"/>
            <w:shd w:val="clear" w:color="auto" w:fill="FFFFFF"/>
          </w:tcPr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1CB1">
              <w:rPr>
                <w:rFonts w:ascii="Arial" w:hAnsi="Arial" w:cs="Arial"/>
                <w:sz w:val="20"/>
                <w:szCs w:val="20"/>
              </w:rPr>
              <w:t>Patricia</w:t>
            </w:r>
            <w:proofErr w:type="spellEnd"/>
            <w:r w:rsidRPr="00FF1CB1">
              <w:rPr>
                <w:rFonts w:ascii="Arial" w:hAnsi="Arial" w:cs="Arial"/>
                <w:sz w:val="20"/>
                <w:szCs w:val="20"/>
              </w:rPr>
              <w:t xml:space="preserve"> Guedes dos Santos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CPF</w:t>
            </w:r>
            <w:proofErr w:type="gramStart"/>
            <w:r w:rsidRPr="00FF1CB1"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  <w:r w:rsidRPr="00FF1CB1">
              <w:rPr>
                <w:rFonts w:ascii="Arial" w:hAnsi="Arial" w:cs="Arial"/>
                <w:sz w:val="20"/>
                <w:szCs w:val="20"/>
              </w:rPr>
              <w:t xml:space="preserve"> 429.962.128-00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RG.: 407663496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Cargo: Membro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PORTARIA: 8808 DE 02/07/2025</w:t>
            </w:r>
          </w:p>
        </w:tc>
        <w:tc>
          <w:tcPr>
            <w:tcW w:w="4890" w:type="dxa"/>
            <w:shd w:val="clear" w:color="auto" w:fill="FFFFFF"/>
          </w:tcPr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Thais Carolina Nogueira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CPF</w:t>
            </w:r>
            <w:proofErr w:type="gramStart"/>
            <w:r w:rsidRPr="00FF1CB1"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  <w:r w:rsidRPr="00FF1CB1">
              <w:rPr>
                <w:rFonts w:ascii="Arial" w:hAnsi="Arial" w:cs="Arial"/>
                <w:sz w:val="20"/>
                <w:szCs w:val="20"/>
              </w:rPr>
              <w:t xml:space="preserve"> 448.389.948-18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RG.: 55900221x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Cargo: Agente de Contratação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Substituta</w:t>
            </w:r>
          </w:p>
          <w:p w:rsidR="00FF1CB1" w:rsidRPr="00FF1CB1" w:rsidRDefault="00FF1CB1" w:rsidP="00F32BD9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between w:val="none" w:sz="6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1CB1">
              <w:rPr>
                <w:rFonts w:ascii="Arial" w:hAnsi="Arial" w:cs="Arial"/>
                <w:sz w:val="20"/>
                <w:szCs w:val="20"/>
              </w:rPr>
              <w:t>PORTARIA: 8814 DE 02/07/2025</w:t>
            </w:r>
          </w:p>
        </w:tc>
      </w:tr>
    </w:tbl>
    <w:p w:rsidR="00087191" w:rsidRPr="00A76711" w:rsidRDefault="00087191" w:rsidP="00FF1CB1">
      <w:pPr>
        <w:rPr>
          <w:rFonts w:ascii="Arial" w:hAnsi="Arial" w:cs="Arial"/>
          <w:sz w:val="24"/>
          <w:szCs w:val="24"/>
        </w:rPr>
      </w:pPr>
    </w:p>
    <w:sectPr w:rsidR="00087191" w:rsidRPr="00A76711" w:rsidSect="008C345D">
      <w:headerReference w:type="default" r:id="rId7"/>
      <w:footerReference w:type="default" r:id="rId8"/>
      <w:pgSz w:w="11906" w:h="16838"/>
      <w:pgMar w:top="1701" w:right="1134" w:bottom="170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0D" w:rsidRDefault="0031040D" w:rsidP="00A76711">
      <w:pPr>
        <w:spacing w:after="0" w:line="240" w:lineRule="auto"/>
      </w:pPr>
      <w:r>
        <w:separator/>
      </w:r>
    </w:p>
  </w:endnote>
  <w:endnote w:type="continuationSeparator" w:id="0">
    <w:p w:rsidR="0031040D" w:rsidRDefault="0031040D" w:rsidP="00A7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5D" w:rsidRDefault="008C345D" w:rsidP="008C345D">
    <w:pPr>
      <w:pStyle w:val="Rodap"/>
      <w:pBdr>
        <w:bottom w:val="single" w:sz="4" w:space="1" w:color="auto"/>
      </w:pBdr>
      <w:rPr>
        <w:b/>
      </w:rPr>
    </w:pPr>
  </w:p>
  <w:p w:rsidR="008C345D" w:rsidRDefault="008C345D" w:rsidP="008C345D">
    <w:pPr>
      <w:pStyle w:val="Rodap"/>
      <w:ind w:left="-770" w:firstLine="770"/>
      <w:jc w:val="center"/>
      <w:rPr>
        <w:rFonts w:ascii="Arial" w:hAnsi="Arial" w:cs="Arial"/>
        <w:sz w:val="20"/>
        <w:szCs w:val="20"/>
      </w:rPr>
    </w:pPr>
  </w:p>
  <w:p w:rsidR="008C345D" w:rsidRPr="00EE340B" w:rsidRDefault="008C345D" w:rsidP="008C345D">
    <w:pPr>
      <w:pStyle w:val="Rodap"/>
      <w:ind w:left="-770" w:firstLine="770"/>
      <w:jc w:val="center"/>
      <w:rPr>
        <w:rFonts w:ascii="Arial" w:hAnsi="Arial" w:cs="Arial"/>
        <w:sz w:val="20"/>
        <w:szCs w:val="20"/>
      </w:rPr>
    </w:pPr>
    <w:r w:rsidRPr="00EE340B">
      <w:rPr>
        <w:rFonts w:ascii="Arial" w:hAnsi="Arial" w:cs="Arial"/>
        <w:sz w:val="20"/>
        <w:szCs w:val="20"/>
      </w:rPr>
      <w:t>Avenida Altino Arantes, nº. 122, centro, CEP 14990-000, Fone (17) 3556-1600/1300, Irapuã/</w:t>
    </w:r>
    <w:proofErr w:type="gramStart"/>
    <w:r w:rsidRPr="00EE340B">
      <w:rPr>
        <w:rFonts w:ascii="Arial" w:hAnsi="Arial" w:cs="Arial"/>
        <w:sz w:val="20"/>
        <w:szCs w:val="20"/>
      </w:rPr>
      <w:t>SP</w:t>
    </w:r>
    <w:proofErr w:type="gramEnd"/>
  </w:p>
  <w:p w:rsidR="00A76711" w:rsidRPr="008C345D" w:rsidRDefault="008C345D" w:rsidP="008C345D">
    <w:pPr>
      <w:pStyle w:val="Rodap"/>
      <w:jc w:val="center"/>
      <w:rPr>
        <w:rFonts w:ascii="Arial" w:hAnsi="Arial" w:cs="Arial"/>
        <w:sz w:val="20"/>
        <w:szCs w:val="20"/>
      </w:rPr>
    </w:pPr>
    <w:r w:rsidRPr="00EE340B">
      <w:rPr>
        <w:rFonts w:ascii="Arial" w:hAnsi="Arial" w:cs="Arial"/>
        <w:sz w:val="20"/>
        <w:szCs w:val="20"/>
      </w:rPr>
      <w:t>Site: www.irapua.sp.gov.br     E-mail: prefeitura@irapua.sp.gov.br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0D" w:rsidRDefault="0031040D" w:rsidP="00A76711">
      <w:pPr>
        <w:spacing w:after="0" w:line="240" w:lineRule="auto"/>
      </w:pPr>
      <w:r>
        <w:separator/>
      </w:r>
    </w:p>
  </w:footnote>
  <w:footnote w:type="continuationSeparator" w:id="0">
    <w:p w:rsidR="0031040D" w:rsidRDefault="0031040D" w:rsidP="00A7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11" w:rsidRDefault="008C345D">
    <w:pPr>
      <w:pStyle w:val="Cabealho"/>
    </w:pPr>
    <w:r>
      <w:rPr>
        <w:noProof/>
        <w:lang w:eastAsia="pt-BR"/>
      </w:rPr>
      <w:drawing>
        <wp:inline distT="0" distB="0" distL="0" distR="0" wp14:anchorId="7FC53D73" wp14:editId="4CD35DC9">
          <wp:extent cx="6171603" cy="1202974"/>
          <wp:effectExtent l="0" t="0" r="635" b="0"/>
          <wp:docPr id="1" name="Imagem 0" descr="image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imagem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30" t="15423" b="6468"/>
                  <a:stretch>
                    <a:fillRect/>
                  </a:stretch>
                </pic:blipFill>
                <pic:spPr bwMode="auto">
                  <a:xfrm>
                    <a:off x="0" y="0"/>
                    <a:ext cx="6242188" cy="12167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6711" w:rsidRDefault="00A767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11"/>
    <w:rsid w:val="00087191"/>
    <w:rsid w:val="002D182C"/>
    <w:rsid w:val="0031040D"/>
    <w:rsid w:val="008C345D"/>
    <w:rsid w:val="00A76711"/>
    <w:rsid w:val="00AB6DAC"/>
    <w:rsid w:val="00F6712E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711"/>
  </w:style>
  <w:style w:type="paragraph" w:styleId="Rodap">
    <w:name w:val="footer"/>
    <w:basedOn w:val="Normal"/>
    <w:link w:val="RodapChar"/>
    <w:uiPriority w:val="99"/>
    <w:unhideWhenUsed/>
    <w:rsid w:val="00A7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711"/>
  </w:style>
  <w:style w:type="paragraph" w:styleId="Textodebalo">
    <w:name w:val="Balloon Text"/>
    <w:basedOn w:val="Normal"/>
    <w:link w:val="TextodebaloChar"/>
    <w:uiPriority w:val="99"/>
    <w:semiHidden/>
    <w:unhideWhenUsed/>
    <w:rsid w:val="008C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711"/>
  </w:style>
  <w:style w:type="paragraph" w:styleId="Rodap">
    <w:name w:val="footer"/>
    <w:basedOn w:val="Normal"/>
    <w:link w:val="RodapChar"/>
    <w:uiPriority w:val="99"/>
    <w:unhideWhenUsed/>
    <w:rsid w:val="00A7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711"/>
  </w:style>
  <w:style w:type="paragraph" w:styleId="Textodebalo">
    <w:name w:val="Balloon Text"/>
    <w:basedOn w:val="Normal"/>
    <w:link w:val="TextodebaloChar"/>
    <w:uiPriority w:val="99"/>
    <w:semiHidden/>
    <w:unhideWhenUsed/>
    <w:rsid w:val="008C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2122</Words>
  <Characters>11464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</dc:creator>
  <cp:lastModifiedBy>PC_Prefeitura</cp:lastModifiedBy>
  <cp:revision>2</cp:revision>
  <dcterms:created xsi:type="dcterms:W3CDTF">2025-07-24T13:20:00Z</dcterms:created>
  <dcterms:modified xsi:type="dcterms:W3CDTF">2025-07-24T13:20:00Z</dcterms:modified>
</cp:coreProperties>
</file>